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D4" w:rsidRDefault="00770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состоянии коррупции и  реализации мер по противодействию коррупции в Ржавец</w:t>
      </w:r>
      <w:r>
        <w:rPr>
          <w:rFonts w:ascii="Times New Roman" w:hAnsi="Times New Roman" w:cs="Times New Roman"/>
          <w:b/>
          <w:sz w:val="28"/>
          <w:szCs w:val="28"/>
        </w:rPr>
        <w:t>ком  сельском поселении за 2022 год</w:t>
      </w:r>
    </w:p>
    <w:p w:rsidR="002637D4" w:rsidRDefault="00770022" w:rsidP="007700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 по противодействию коррупции в администрации Ржавец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осуществляется в соответствии с законодательством Российской Федерации, в том числе Федеральным законом от 25 декабря 2008 года № 273-ФЗ «О противодействии коррупции»,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02.03.2007 № 25-ФЗ «О муниципальном службе в Российской Федерации».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поддержания муниципальных правовых актов в сфере противодействия коррупции в актуальном состоянии проводится мониторинг действующего законодательства РФ по вопро</w:t>
      </w:r>
      <w:r>
        <w:rPr>
          <w:rFonts w:ascii="Times New Roman" w:hAnsi="Times New Roman" w:cs="Times New Roman"/>
          <w:sz w:val="28"/>
          <w:szCs w:val="28"/>
        </w:rPr>
        <w:t>сам противодействия коррупции на предмет его изменения.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Мониторинг проводится ежемесячно, в нормативные акты в случае необходимости вносятся изменения. Так, в рамках реализации антикоррупционной политики постоянно проводится работа по подготовке и принятию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нормативно-правовых актов антикоррупционной направленности и по приведению действующих нормативно-правовых актов в соответствие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законодательством. Нормативно-правовая база антикоррупционной направленности является </w:t>
      </w:r>
      <w:r>
        <w:rPr>
          <w:rFonts w:ascii="Times New Roman" w:hAnsi="Times New Roman" w:cs="Times New Roman"/>
          <w:sz w:val="28"/>
          <w:szCs w:val="28"/>
        </w:rPr>
        <w:t>основой для реализации мероприятий по противодействию коррупции, особенно для профилактики правонарушений коррупционного характера. В соответствии с Федеральным законом от 25.12.2008 № 273-ФЗ «О противодействии коррупции», Федеральным законом от 17.07.2009</w:t>
      </w:r>
      <w:r>
        <w:rPr>
          <w:rFonts w:ascii="Times New Roman" w:hAnsi="Times New Roman" w:cs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 утвержден Порядок организации проведения антикоррупционной экспертизы нормативных правовых актов и их проектов.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принятого порядка проводит</w:t>
      </w:r>
      <w:r>
        <w:rPr>
          <w:rFonts w:ascii="Times New Roman" w:hAnsi="Times New Roman" w:cs="Times New Roman"/>
          <w:sz w:val="28"/>
          <w:szCs w:val="28"/>
        </w:rPr>
        <w:t xml:space="preserve">ся антикоррупционная экспертиза нормативных правовых актов и их проектов. </w:t>
      </w:r>
    </w:p>
    <w:p w:rsidR="002637D4" w:rsidRDefault="00770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Создана комиссия по соблюдению требований к служебному поведению муниципальных служащих и урегулированию конфликта интересов, утверждено положение о комиссии. Заседания комиссии за </w:t>
      </w:r>
      <w:r>
        <w:rPr>
          <w:rFonts w:ascii="Times New Roman" w:hAnsi="Times New Roman" w:cs="Times New Roman"/>
          <w:sz w:val="28"/>
          <w:szCs w:val="28"/>
        </w:rPr>
        <w:t>отчетный период не проводились в связи с отсутствием оснований. Случаев применения мер юридической ответственности, предусмотренных законодательством Российской Федерации, к лицам, нарушившим требования о предотвращении или об урегулировании конфликта инте</w:t>
      </w:r>
      <w:r>
        <w:rPr>
          <w:rFonts w:ascii="Times New Roman" w:hAnsi="Times New Roman" w:cs="Times New Roman"/>
          <w:sz w:val="28"/>
          <w:szCs w:val="28"/>
        </w:rPr>
        <w:t>ресов нет. Обращений граждан на предмет наличия информации о фактах коррупции со стороны лиц, замещающих должности муниципальной службы и муниципальных служащих органов местного самоуправления Ржавецк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не поступало. Все лица, обязанн</w:t>
      </w:r>
      <w:r>
        <w:rPr>
          <w:rFonts w:ascii="Times New Roman" w:hAnsi="Times New Roman" w:cs="Times New Roman"/>
          <w:sz w:val="28"/>
          <w:szCs w:val="28"/>
        </w:rPr>
        <w:t xml:space="preserve">ые предоставить сведения о </w:t>
      </w:r>
      <w:r>
        <w:rPr>
          <w:rFonts w:ascii="Times New Roman" w:hAnsi="Times New Roman" w:cs="Times New Roman"/>
          <w:sz w:val="28"/>
          <w:szCs w:val="28"/>
        </w:rPr>
        <w:lastRenderedPageBreak/>
        <w:t>доходах, расходах, об имуществе и обязательствах имущественного характера муниципальных служащих, а также о доходах, расходах, об имуществе и обязательствах имущественного характера 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сдают их в установленные законодательством сроки и по форме. В целях профилактики коррупционных правонарушений проводится анализ сведений о доходах. </w:t>
      </w:r>
    </w:p>
    <w:p w:rsidR="002637D4" w:rsidRDefault="00770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собраниях с работниками администрации поселения проводится разъяснительная работа по вопросам противод</w:t>
      </w:r>
      <w:r>
        <w:rPr>
          <w:rFonts w:ascii="Times New Roman" w:hAnsi="Times New Roman" w:cs="Times New Roman"/>
          <w:sz w:val="28"/>
          <w:szCs w:val="28"/>
        </w:rPr>
        <w:t>ействия коррупции. Ежегодно в декабре проводится мероприятие в рамках круглого стола с депутатами Ржавец</w:t>
      </w:r>
      <w:r>
        <w:rPr>
          <w:rFonts w:ascii="Times New Roman" w:hAnsi="Times New Roman" w:cs="Times New Roman"/>
          <w:sz w:val="28"/>
          <w:szCs w:val="28"/>
        </w:rPr>
        <w:t xml:space="preserve">кого сельского поселения и муниципальными служащими администрации поселения на тему «Предоставление сведений о своих доходах, расходах, об имуществе и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 своих супруг (супругов) и несовершеннолетних детей». </w:t>
      </w:r>
    </w:p>
    <w:p w:rsidR="002637D4" w:rsidRDefault="0077002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противодействия коррупции в сфере административных процедур, исключения возможности возникновения коррупционных факторов и повышения прозрачно</w:t>
      </w:r>
      <w:r>
        <w:rPr>
          <w:rFonts w:ascii="Times New Roman" w:hAnsi="Times New Roman" w:cs="Times New Roman"/>
          <w:sz w:val="28"/>
          <w:szCs w:val="28"/>
        </w:rPr>
        <w:t>сти своей деятельности органами местного самоуправления Ржавец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разработаны административные регламенты предоставления муниципальных услуг и исполнения муниципальных функций, которые проходят необходимые процедуры обсуждения и согла</w:t>
      </w:r>
      <w:r>
        <w:rPr>
          <w:rFonts w:ascii="Times New Roman" w:hAnsi="Times New Roman" w:cs="Times New Roman"/>
          <w:sz w:val="28"/>
          <w:szCs w:val="28"/>
        </w:rPr>
        <w:t xml:space="preserve">сования. </w:t>
      </w:r>
      <w:proofErr w:type="gramEnd"/>
    </w:p>
    <w:p w:rsidR="002637D4" w:rsidRDefault="00770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Ржавец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размещена общая информация об органах местного самоуправления Ржавец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поселения. Ведутся разделы Муниципальная служба, Муниципальные закупки, Противодействие коррупц</w:t>
      </w:r>
      <w:r>
        <w:rPr>
          <w:rFonts w:ascii="Times New Roman" w:hAnsi="Times New Roman" w:cs="Times New Roman"/>
          <w:sz w:val="28"/>
          <w:szCs w:val="28"/>
        </w:rPr>
        <w:t>ии, Конкурсы и торги, Нормативно-правовые акты и др. Все нормативные правовые акты органов местного самоуправления Ржавец</w:t>
      </w:r>
      <w:r>
        <w:rPr>
          <w:rFonts w:ascii="Times New Roman" w:hAnsi="Times New Roman" w:cs="Times New Roman"/>
          <w:sz w:val="28"/>
          <w:szCs w:val="28"/>
        </w:rPr>
        <w:t>кого  сельского поселения обнародуются и размещаются на сайте администрации поселения в информационно-телекоммуницикационной сети «Инт</w:t>
      </w:r>
      <w:r>
        <w:rPr>
          <w:rFonts w:ascii="Times New Roman" w:hAnsi="Times New Roman" w:cs="Times New Roman"/>
          <w:sz w:val="28"/>
          <w:szCs w:val="28"/>
        </w:rPr>
        <w:t xml:space="preserve">ернет». </w:t>
      </w:r>
    </w:p>
    <w:p w:rsidR="002637D4" w:rsidRDefault="00770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администрации оформлен информационный стенд, на котором размещены плакаты «</w:t>
      </w:r>
      <w:r>
        <w:rPr>
          <w:rFonts w:ascii="Times New Roman" w:hAnsi="Times New Roman" w:cs="Times New Roman"/>
          <w:sz w:val="28"/>
          <w:szCs w:val="28"/>
        </w:rPr>
        <w:t xml:space="preserve">Наказание за взятку или подкуп», «Коррупция.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Виды коррупционных правонарушений», «Что такое злоупотребление полномочиями», «Давать взятку опасно!», телефоны горяч</w:t>
      </w:r>
      <w:r>
        <w:rPr>
          <w:rFonts w:ascii="Times New Roman" w:hAnsi="Times New Roman" w:cs="Times New Roman"/>
          <w:sz w:val="28"/>
          <w:szCs w:val="28"/>
        </w:rPr>
        <w:t>ей линии для приема сообщений от граждан по фактам коррупции и различная информация по противодействию коррупции.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феврале 2022 года по организациям и предприятиям Ржавец</w:t>
      </w:r>
      <w:r>
        <w:rPr>
          <w:rFonts w:ascii="Times New Roman" w:hAnsi="Times New Roman" w:cs="Times New Roman"/>
          <w:sz w:val="28"/>
          <w:szCs w:val="28"/>
        </w:rPr>
        <w:t xml:space="preserve">кого сельского поселения были распространены памятки: «Стоп коррупция! Наказание за </w:t>
      </w:r>
      <w:r>
        <w:rPr>
          <w:rFonts w:ascii="Times New Roman" w:hAnsi="Times New Roman" w:cs="Times New Roman"/>
          <w:sz w:val="28"/>
          <w:szCs w:val="28"/>
        </w:rPr>
        <w:t xml:space="preserve">посредничество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взяточничестве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.», «Что нужно знать о коррупции». </w:t>
      </w:r>
    </w:p>
    <w:p w:rsidR="002637D4" w:rsidRDefault="00770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Процедура закупок, заключение контрактов и их дальнейшее осуществление проводится в соответствии с федеральным законом от 05.04.2013 № 44-ФЗ «О контрактной системе в сфере закупок товаров,</w:t>
      </w:r>
      <w:r>
        <w:rPr>
          <w:rFonts w:ascii="Times New Roman" w:hAnsi="Times New Roman" w:cs="Times New Roman"/>
          <w:sz w:val="28"/>
          <w:szCs w:val="28"/>
        </w:rPr>
        <w:t xml:space="preserve"> работ, услуг для обеспечения государственных и муниципальных нужд». Отчет об исполнении бюджета поселения размещается на сайте администрации Ржавец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поселения. На сайте администрации Ржавец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размещена социальная рекла</w:t>
      </w:r>
      <w:r>
        <w:rPr>
          <w:rFonts w:ascii="Times New Roman" w:hAnsi="Times New Roman" w:cs="Times New Roman"/>
          <w:sz w:val="28"/>
          <w:szCs w:val="28"/>
        </w:rPr>
        <w:t>ма антикоррупционной направленности.</w:t>
      </w:r>
    </w:p>
    <w:p w:rsidR="00770022" w:rsidRDefault="0077002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46"/>
        <w:gridCol w:w="3045"/>
        <w:gridCol w:w="3180"/>
      </w:tblGrid>
      <w:tr w:rsidR="00770022" w:rsidRPr="0077350D" w:rsidTr="003252E6">
        <w:tc>
          <w:tcPr>
            <w:tcW w:w="3346" w:type="dxa"/>
          </w:tcPr>
          <w:p w:rsidR="00770022" w:rsidRPr="00770022" w:rsidRDefault="00770022" w:rsidP="0077002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770022">
              <w:rPr>
                <w:rFonts w:ascii="Times New Roman" w:hAnsi="Times New Roman" w:cs="Times New Roman"/>
                <w:b/>
                <w:sz w:val="28"/>
                <w:szCs w:val="28"/>
              </w:rPr>
              <w:t>лава администрации</w:t>
            </w:r>
          </w:p>
          <w:p w:rsidR="00770022" w:rsidRPr="00770022" w:rsidRDefault="00770022" w:rsidP="00770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022">
              <w:rPr>
                <w:rFonts w:ascii="Times New Roman" w:hAnsi="Times New Roman" w:cs="Times New Roman"/>
                <w:b/>
                <w:sz w:val="28"/>
                <w:szCs w:val="28"/>
              </w:rPr>
              <w:t>Ржавецкого сельского поселения</w:t>
            </w:r>
          </w:p>
        </w:tc>
        <w:tc>
          <w:tcPr>
            <w:tcW w:w="3045" w:type="dxa"/>
          </w:tcPr>
          <w:p w:rsidR="00770022" w:rsidRPr="00770022" w:rsidRDefault="00770022" w:rsidP="007700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02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22020" cy="510540"/>
                  <wp:effectExtent l="19050" t="0" r="0" b="0"/>
                  <wp:docPr id="2" name="Рисунок 2" descr="D:\подпись мо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:\подпись мо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:rsidR="00770022" w:rsidRPr="00770022" w:rsidRDefault="00770022" w:rsidP="0077002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022" w:rsidRPr="00770022" w:rsidRDefault="00770022" w:rsidP="007700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022">
              <w:rPr>
                <w:rFonts w:ascii="Times New Roman" w:hAnsi="Times New Roman" w:cs="Times New Roman"/>
                <w:b/>
                <w:sz w:val="28"/>
                <w:szCs w:val="28"/>
              </w:rPr>
              <w:t>Т.Шеховцова</w:t>
            </w:r>
          </w:p>
        </w:tc>
      </w:tr>
    </w:tbl>
    <w:p w:rsidR="002637D4" w:rsidRDefault="002637D4" w:rsidP="00770022">
      <w:pPr>
        <w:spacing w:after="0"/>
      </w:pPr>
    </w:p>
    <w:sectPr w:rsidR="002637D4" w:rsidSect="002637D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2637D4"/>
    <w:rsid w:val="002637D4"/>
    <w:rsid w:val="0077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B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637D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2637D4"/>
    <w:pPr>
      <w:spacing w:after="140"/>
    </w:pPr>
  </w:style>
  <w:style w:type="paragraph" w:styleId="a5">
    <w:name w:val="List"/>
    <w:basedOn w:val="a4"/>
    <w:rsid w:val="002637D4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637D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2637D4"/>
    <w:pPr>
      <w:suppressLineNumbers/>
    </w:pPr>
    <w:rPr>
      <w:rFonts w:ascii="PT Astra Serif" w:hAnsi="PT Astra Serif" w:cs="Noto Sans Devanagari"/>
    </w:rPr>
  </w:style>
  <w:style w:type="paragraph" w:styleId="a7">
    <w:name w:val="Balloon Text"/>
    <w:basedOn w:val="a"/>
    <w:link w:val="a8"/>
    <w:uiPriority w:val="99"/>
    <w:semiHidden/>
    <w:unhideWhenUsed/>
    <w:rsid w:val="0077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4538</Characters>
  <Application>Microsoft Office Word</Application>
  <DocSecurity>0</DocSecurity>
  <Lines>37</Lines>
  <Paragraphs>10</Paragraphs>
  <ScaleCrop>false</ScaleCrop>
  <Company>Krokoz™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Рет</cp:lastModifiedBy>
  <cp:revision>2</cp:revision>
  <dcterms:created xsi:type="dcterms:W3CDTF">2023-05-26T08:08:00Z</dcterms:created>
  <dcterms:modified xsi:type="dcterms:W3CDTF">2023-05-26T08:08:00Z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